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  <w:t>Dealer Support and Supervision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>We believe that one of the most important criteria affecting a farmer’s decision to purchase a particular brand of equipment is the quality of the dealer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who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sells and services the equipment. We provide significant support to our dealers in order to improve the quality of our dealer network. We monitor each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dealer’s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performance and profitability and establish programs that focus on continual dealer improvement. Our dealers generally have sales territories for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which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they are responsible.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>We believe that our ability to offer our dealers a full product line of agricultural equipment and related replacement parts, as well as our ongoing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dealer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training and support programs focusing on business and inventory management, sales, marketing, warranty and servicing matters and products, helps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ensure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the vitality and increase the competitiveness of our dealer network. We also maintain dealer advisory groups to obtain dealer feedback on our operations.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>We provide our dealers with volume sales incentives, demonstration programs and other advertising support to assist sales. We design our sales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programs</w:t>
      </w:r>
      <w:proofErr w:type="gramEnd"/>
      <w:r>
        <w:rPr>
          <w:rFonts w:ascii="TimesNewRomanPSMT" w:hAnsi="TimesNewRomanPSMT" w:cs="TimesNewRomanPSMT"/>
          <w:sz w:val="17"/>
          <w:szCs w:val="17"/>
        </w:rPr>
        <w:t>, including retail financing incentives, and our policies for maintaining parts and service availability with extensive product warranties to enhance</w:t>
      </w:r>
    </w:p>
    <w:p w:rsidR="00845B6F" w:rsidRDefault="00DD3C59" w:rsidP="00DD3C59">
      <w:pPr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our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dealers’ competitive position. In general, either party may cancel dealer contracts within certain notice periods.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  <w:t xml:space="preserve">We depend on suppliers for components, parts and raw materials for our </w:t>
      </w:r>
      <w:proofErr w:type="gramStart"/>
      <w:r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  <w:t>products,</w:t>
      </w:r>
      <w:proofErr w:type="gramEnd"/>
      <w:r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  <w:t xml:space="preserve"> and any failure by our suppliers to provide products as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</w:pPr>
      <w:proofErr w:type="gramStart"/>
      <w:r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  <w:t>needed</w:t>
      </w:r>
      <w:proofErr w:type="gramEnd"/>
      <w:r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  <w:t>, or by us to promptly address supplier issues, will adversely impact our ability to timely and efficiently manufacture and sell products. We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</w:pPr>
      <w:proofErr w:type="gramStart"/>
      <w:r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  <w:t>also</w:t>
      </w:r>
      <w:proofErr w:type="gramEnd"/>
      <w:r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  <w:t xml:space="preserve"> are subject to raw material price fluctuations, which can adversely affect our manufacturing costs.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>Our products include components and parts manufactured by others. As a result, our ability to timely and efficiently manufacture existing products,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to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introduce new products and to shift manufacturing of products from one facility to another depends on the quality of these components and parts and the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timeliness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of their delivery to our facilities. At any particular time, we depend on many different </w:t>
      </w:r>
      <w:proofErr w:type="gramStart"/>
      <w:r>
        <w:rPr>
          <w:rFonts w:ascii="TimesNewRomanPSMT" w:hAnsi="TimesNewRomanPSMT" w:cs="TimesNewRomanPSMT"/>
          <w:sz w:val="17"/>
          <w:szCs w:val="17"/>
        </w:rPr>
        <w:t>suppliers,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and the failure by one or more of our suppliers to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perform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as needed will result in fewer products being manufactured, shipped and sold. If the quality of the components or parts provided by our suppliers is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less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than required and we do not recognize that failure prior to the shipment of our products, we will incur higher warranty costs. The timely supply of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component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parts for our products also depends on our ability to manage our relationships with suppliers, to identify and replace suppliers that fail to meet our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schedules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or quality standards, and to monitor the flow of components and accurately project our needs. The shift from our existing suppliers to new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suppliers</w:t>
      </w:r>
      <w:proofErr w:type="gramEnd"/>
      <w:r>
        <w:rPr>
          <w:rFonts w:ascii="TimesNewRomanPSMT" w:hAnsi="TimesNewRomanPSMT" w:cs="TimesNewRomanPSMT"/>
          <w:sz w:val="17"/>
          <w:szCs w:val="17"/>
        </w:rPr>
        <w:t>, including suppliers in emerging markets in the future, also may impact the quality and efficiency of our manufacturing capabilities, as well as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impact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warranty costs. A significant increase in the price of any component or raw material could adversely affect our profitability. We cannot avoid exposure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to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global price fluctuations, such as occurred in the past with the costs of steel and related products, and our profitability depends on, among other things, our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ability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to raise equipment and parts prices sufficiently enough to recover any such material or component cost increases.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  <w:t>Discount and Sales Incentive Allowances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>We provide various volume bonus and sales incentive programs with respect to our products. These sales incentive programs include reductions in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invoice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prices, reductions in retail financing rates, dealer commissions and dealer incentive allowances. In most cases, incentive programs are established and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communicated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to our dealers on a quarterly basis. The incentives are paid either at the time of invoice (through a reduction of invoice price), at the time of the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settlement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of the receivable, at the time of retail financing, at the time of warranty registration, or at a subsequent time based on dealer purchases. The incentive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programs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are product line specific and generally do not vary by dealer. The cost of sales incentives associated with dealer commissions and dealer incentive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allowances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is estimated based upon the terms of the programs and historical experience, is based on a percentage of the sales price, and is recorded at the later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lastRenderedPageBreak/>
        <w:t>of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(a) the date at which the related revenue is recognized, or (b) the date at which the sales incentive is offered. The related provisions and accruals </w:t>
      </w:r>
      <w:proofErr w:type="gramStart"/>
      <w:r>
        <w:rPr>
          <w:rFonts w:ascii="TimesNewRomanPSMT" w:hAnsi="TimesNewRomanPSMT" w:cs="TimesNewRomanPSMT"/>
          <w:sz w:val="17"/>
          <w:szCs w:val="17"/>
        </w:rPr>
        <w:t>are made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on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a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product or product-line basis and are monitored for adequacy and revised at least quarterly in the event of subsequent modifications to the programs. Volume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discounts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are estimated and recognized based on historical experience, and related reserves are monitored and adjusted based on actual dealer purchases and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the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dealers’ progress towards achieving specified cumulative target levels.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  <w:t>Warranty and Additional Service Actions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 xml:space="preserve">We make provisions for estimated expenses related to product warranties at the time products </w:t>
      </w:r>
      <w:proofErr w:type="gramStart"/>
      <w:r>
        <w:rPr>
          <w:rFonts w:ascii="TimesNewRomanPSMT" w:hAnsi="TimesNewRomanPSMT" w:cs="TimesNewRomanPSMT"/>
          <w:sz w:val="17"/>
          <w:szCs w:val="17"/>
        </w:rPr>
        <w:t>are sold</w:t>
      </w:r>
      <w:proofErr w:type="gramEnd"/>
      <w:r>
        <w:rPr>
          <w:rFonts w:ascii="TimesNewRomanPSMT" w:hAnsi="TimesNewRomanPSMT" w:cs="TimesNewRomanPSMT"/>
          <w:sz w:val="17"/>
          <w:szCs w:val="17"/>
        </w:rPr>
        <w:t>. We base these estimates on historical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experience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of the nature, frequency and average cost of warranty claims. In addition, we take into consideration the number and magnitude of additional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service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actions expected to be approved and policies related to additional service actions. Due to the uncertainty and potential volatility of these estimated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factors</w:t>
      </w:r>
      <w:proofErr w:type="gramEnd"/>
      <w:r>
        <w:rPr>
          <w:rFonts w:ascii="TimesNewRomanPSMT" w:hAnsi="TimesNewRomanPSMT" w:cs="TimesNewRomanPSMT"/>
          <w:sz w:val="17"/>
          <w:szCs w:val="17"/>
        </w:rPr>
        <w:t>, changes in our assumptions could materially affect net income.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 xml:space="preserve">Our estimate of warranty obligations </w:t>
      </w:r>
      <w:proofErr w:type="gramStart"/>
      <w:r>
        <w:rPr>
          <w:rFonts w:ascii="TimesNewRomanPSMT" w:hAnsi="TimesNewRomanPSMT" w:cs="TimesNewRomanPSMT"/>
          <w:sz w:val="17"/>
          <w:szCs w:val="17"/>
        </w:rPr>
        <w:t>is reevaluated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on a quarterly basis. Experience has shown that initial data for any product series line can be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volatile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; therefore, our process relies upon long-term historical averages until sufficient data is available. As actual experience becomes available, it </w:t>
      </w:r>
      <w:proofErr w:type="gramStart"/>
      <w:r>
        <w:rPr>
          <w:rFonts w:ascii="TimesNewRomanPSMT" w:hAnsi="TimesNewRomanPSMT" w:cs="TimesNewRomanPSMT"/>
          <w:sz w:val="17"/>
          <w:szCs w:val="17"/>
        </w:rPr>
        <w:t>is used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to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modify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the historical averages to ensure that the forecast is within the range of likely outcomes. Resulting balances </w:t>
      </w:r>
      <w:proofErr w:type="gramStart"/>
      <w:r>
        <w:rPr>
          <w:rFonts w:ascii="TimesNewRomanPSMT" w:hAnsi="TimesNewRomanPSMT" w:cs="TimesNewRomanPSMT"/>
          <w:sz w:val="17"/>
          <w:szCs w:val="17"/>
        </w:rPr>
        <w:t>are then compared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with present spending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rates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to ensure that the accruals are adequate to meet expected future obligations.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>See Note 1 to our Consolidated Financial Statements for more information regarding costs and assumptions for warranties.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  <w:t>Use of Estimates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>The preparation of financial statements in conformity with U.S. generally accepted accounting principles (“GAAP”) requires management to make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estimates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and assumptions that affect the reported amounts of assets and liabilities and disclosure of contingent assets and liabilities at the date of the financial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statements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and the reported amounts of revenues and expenses during the reporting period. Actual results could differ from those estimates. The estimates made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by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management primarily relate to accounts and notes receivable, inventories, deferred income tax valuation allowances, goodwill and other identifiable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intangible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assets, and certain accrued liabilities, principally relating to reserves for volume discounts and sales incentives, warranty obligations, product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liability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and workers’ compensation obligations, and pensions and postretirement benefits.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>The Company provides various volume bonus and sales incentive programs with respect to its products. These sales incentive programs include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reductions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in invoice prices, reductions in retail financing rates, dealer commissions and dealer incentive allowances. In most cases, incentive programs are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established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and communicated to the Company’s dealers on a quarterly basis. The incentives </w:t>
      </w:r>
      <w:proofErr w:type="gramStart"/>
      <w:r>
        <w:rPr>
          <w:rFonts w:ascii="TimesNewRomanPSMT" w:hAnsi="TimesNewRomanPSMT" w:cs="TimesNewRomanPSMT"/>
          <w:sz w:val="17"/>
          <w:szCs w:val="17"/>
        </w:rPr>
        <w:t>are paid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either at the time of invoice (through a reduction of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invoice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price), at the time of the settlement of the receivable, at the time of retail financing, at the time of warranty registration, or at a subsequent time based on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dealer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purchases. The incentive programs are product-line specific and generally do not vary by dealer. The cost of sales incentives associated with dealer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commissions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and dealer incentive allowances is estimated based upon the terms of the programs and historical experience, is based on a percentage of the sales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price</w:t>
      </w:r>
      <w:proofErr w:type="gramEnd"/>
      <w:r>
        <w:rPr>
          <w:rFonts w:ascii="TimesNewRomanPSMT" w:hAnsi="TimesNewRomanPSMT" w:cs="TimesNewRomanPSMT"/>
          <w:sz w:val="17"/>
          <w:szCs w:val="17"/>
        </w:rPr>
        <w:t>, and is recorded at the later of (a) the date at which the related revenue is recognized, or (b) the date at which the sales incentive is offered.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</w:rPr>
        <w:lastRenderedPageBreak/>
        <w:t>Our success depends on the introduction of new products, which requires substantial expenditures.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>Our long-term results depend upon our ability to introduce and market new products successfully. The success of our new products will depend on a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number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of factors, including: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 xml:space="preserve">• </w:t>
      </w:r>
      <w:proofErr w:type="gramStart"/>
      <w:r>
        <w:rPr>
          <w:rFonts w:ascii="TimesNewRomanPSMT" w:hAnsi="TimesNewRomanPSMT" w:cs="TimesNewRomanPSMT"/>
          <w:sz w:val="17"/>
          <w:szCs w:val="17"/>
        </w:rPr>
        <w:t>innovation</w:t>
      </w:r>
      <w:proofErr w:type="gramEnd"/>
      <w:r>
        <w:rPr>
          <w:rFonts w:ascii="TimesNewRomanPSMT" w:hAnsi="TimesNewRomanPSMT" w:cs="TimesNewRomanPSMT"/>
          <w:sz w:val="17"/>
          <w:szCs w:val="17"/>
        </w:rPr>
        <w:t>;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 xml:space="preserve">• </w:t>
      </w:r>
      <w:proofErr w:type="gramStart"/>
      <w:r>
        <w:rPr>
          <w:rFonts w:ascii="TimesNewRomanPSMT" w:hAnsi="TimesNewRomanPSMT" w:cs="TimesNewRomanPSMT"/>
          <w:sz w:val="17"/>
          <w:szCs w:val="17"/>
        </w:rPr>
        <w:t>customer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acceptance;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 xml:space="preserve">• </w:t>
      </w:r>
      <w:proofErr w:type="gramStart"/>
      <w:r>
        <w:rPr>
          <w:rFonts w:ascii="TimesNewRomanPSMT" w:hAnsi="TimesNewRomanPSMT" w:cs="TimesNewRomanPSMT"/>
          <w:sz w:val="17"/>
          <w:szCs w:val="17"/>
        </w:rPr>
        <w:t>the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efficiency of our suppliers in providing component parts and of our manufacturing facilities in producing final products; and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 xml:space="preserve">• </w:t>
      </w:r>
      <w:proofErr w:type="gramStart"/>
      <w:r>
        <w:rPr>
          <w:rFonts w:ascii="TimesNewRomanPSMT" w:hAnsi="TimesNewRomanPSMT" w:cs="TimesNewRomanPSMT"/>
          <w:sz w:val="17"/>
          <w:szCs w:val="17"/>
        </w:rPr>
        <w:t>the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performance and quality of our products relative to those of our competitors.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>We maintain an independent dealer and distribution network in the markets where we sell products. The financial and operational capabilities of our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dealers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and distributors are critical to our ability to compete in these markets.</w:t>
      </w:r>
    </w:p>
    <w:p w:rsidR="00DD3C59" w:rsidRDefault="00DD3C59" w:rsidP="00DD3C59">
      <w:pPr>
        <w:rPr>
          <w:rFonts w:ascii="TimesNewRomanPSMT" w:hAnsi="TimesNewRomanPSMT" w:cs="TimesNewRomanPSMT"/>
          <w:sz w:val="17"/>
          <w:szCs w:val="17"/>
        </w:rPr>
      </w:pP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 xml:space="preserve">For the year ended December 31, 2013, we derived approximately </w:t>
      </w:r>
      <w:r>
        <w:rPr>
          <w:rFonts w:ascii="TimesNewRomanPSMT" w:hAnsi="TimesNewRomanPSMT" w:cs="TimesNewRomanPSMT"/>
          <w:sz w:val="18"/>
          <w:szCs w:val="18"/>
        </w:rPr>
        <w:t>$8,570.4 million, or 79%</w:t>
      </w:r>
      <w:r>
        <w:rPr>
          <w:rFonts w:ascii="TimesNewRomanPSMT" w:hAnsi="TimesNewRomanPSMT" w:cs="TimesNewRomanPSMT"/>
          <w:sz w:val="17"/>
          <w:szCs w:val="17"/>
        </w:rPr>
        <w:t>, of our net sales from sales outside the United States.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>The foreign countries in which we do the most significant amount of business are Germany, France, Brazil, the United Kingdom, Finland and Canada. In</w:t>
      </w:r>
    </w:p>
    <w:p w:rsidR="00DD3C59" w:rsidRDefault="00DD3C59" w:rsidP="00DD3C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7"/>
          <w:szCs w:val="17"/>
        </w:rPr>
      </w:pPr>
      <w:proofErr w:type="gramStart"/>
      <w:r>
        <w:rPr>
          <w:rFonts w:ascii="TimesNewRomanPSMT" w:hAnsi="TimesNewRomanPSMT" w:cs="TimesNewRomanPSMT"/>
          <w:sz w:val="17"/>
          <w:szCs w:val="17"/>
        </w:rPr>
        <w:t>addition</w:t>
      </w:r>
      <w:proofErr w:type="gramEnd"/>
      <w:r>
        <w:rPr>
          <w:rFonts w:ascii="TimesNewRomanPSMT" w:hAnsi="TimesNewRomanPSMT" w:cs="TimesNewRomanPSMT"/>
          <w:sz w:val="17"/>
          <w:szCs w:val="17"/>
        </w:rPr>
        <w:t>, we have significant manufacturing operations in France, Germany, Brazil, Italy and Finland and have established manufacturing operations in</w:t>
      </w:r>
    </w:p>
    <w:p w:rsidR="00DD3C59" w:rsidRDefault="00DD3C59" w:rsidP="00DD3C59">
      <w:proofErr w:type="gramStart"/>
      <w:r>
        <w:rPr>
          <w:rFonts w:ascii="TimesNewRomanPSMT" w:hAnsi="TimesNewRomanPSMT" w:cs="TimesNewRomanPSMT"/>
          <w:sz w:val="17"/>
          <w:szCs w:val="17"/>
        </w:rPr>
        <w:t>emerging</w:t>
      </w:r>
      <w:proofErr w:type="gramEnd"/>
      <w:r>
        <w:rPr>
          <w:rFonts w:ascii="TimesNewRomanPSMT" w:hAnsi="TimesNewRomanPSMT" w:cs="TimesNewRomanPSMT"/>
          <w:sz w:val="17"/>
          <w:szCs w:val="17"/>
        </w:rPr>
        <w:t xml:space="preserve"> markets, such as China.</w:t>
      </w:r>
      <w:bookmarkStart w:id="0" w:name="_GoBack"/>
      <w:bookmarkEnd w:id="0"/>
    </w:p>
    <w:sectPr w:rsidR="00DD3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59"/>
    <w:rsid w:val="004B07A4"/>
    <w:rsid w:val="00845B6F"/>
    <w:rsid w:val="00DD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3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GalliumGroup</dc:creator>
  <cp:lastModifiedBy>GalliumGroup</cp:lastModifiedBy>
  <cp:revision>1</cp:revision>
  <dcterms:created xsi:type="dcterms:W3CDTF">2014-07-31T03:25:00Z</dcterms:created>
  <dcterms:modified xsi:type="dcterms:W3CDTF">2014-08-05T03:23:00Z</dcterms:modified>
</cp:coreProperties>
</file>